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632" w:rsidRDefault="00B25632" w:rsidP="00B25632">
      <w:pPr>
        <w:spacing w:before="60"/>
        <w:ind w:left="232"/>
        <w:jc w:val="both"/>
        <w:rPr>
          <w:b/>
          <w:sz w:val="24"/>
        </w:rPr>
      </w:pPr>
      <w:r>
        <w:rPr>
          <w:b/>
          <w:sz w:val="24"/>
        </w:rPr>
        <w:t>PRIJEDLOG ODLUKE</w:t>
      </w:r>
    </w:p>
    <w:p w:rsidR="00B25632" w:rsidRDefault="00B25632" w:rsidP="00B25632">
      <w:pPr>
        <w:pStyle w:val="Tijeloteksta"/>
        <w:spacing w:before="3"/>
        <w:rPr>
          <w:b/>
          <w:sz w:val="26"/>
        </w:rPr>
      </w:pPr>
    </w:p>
    <w:p w:rsidR="00B25632" w:rsidRPr="00B25632" w:rsidRDefault="00B25632" w:rsidP="00B25632">
      <w:pPr>
        <w:pStyle w:val="Tijeloteksta"/>
        <w:ind w:left="232"/>
        <w:jc w:val="both"/>
      </w:pPr>
      <w:r>
        <w:t xml:space="preserve">Na temelju članka 62. Zakona o komunalnom gospodarstvu („Narodne novine“, broj 68/18, 110/18 i 32/20), </w:t>
      </w:r>
      <w:r w:rsidR="00570302">
        <w:t xml:space="preserve">članka 25. stavka 1. alineja 6. </w:t>
      </w:r>
      <w:r w:rsidRPr="00B25632">
        <w:t>Statuta Općine Promina („Službeni vjesnik Šibensko-kninske županije“, broj 2/18, 7/18 i „Službeno glasilo Općine Promina“, broj 1/20) Općinsko vijeće O</w:t>
      </w:r>
      <w:r w:rsidR="00160B0B">
        <w:t xml:space="preserve">pćine Promina, na </w:t>
      </w:r>
      <w:r w:rsidRPr="00B25632">
        <w:t>sjednici</w:t>
      </w:r>
      <w:r w:rsidR="00160B0B">
        <w:t xml:space="preserve"> ________</w:t>
      </w:r>
      <w:bookmarkStart w:id="0" w:name="_GoBack"/>
      <w:bookmarkEnd w:id="0"/>
      <w:r w:rsidRPr="00B25632">
        <w:t xml:space="preserve"> održanoj dana </w:t>
      </w:r>
      <w:r w:rsidR="009713F8">
        <w:t>__________</w:t>
      </w:r>
      <w:r w:rsidRPr="00B25632">
        <w:t xml:space="preserve"> 2020. donijelo</w:t>
      </w:r>
      <w:r w:rsidRPr="00B25632">
        <w:rPr>
          <w:spacing w:val="-2"/>
        </w:rPr>
        <w:t xml:space="preserve"> </w:t>
      </w:r>
      <w:r w:rsidRPr="00B25632">
        <w:t>je</w:t>
      </w:r>
    </w:p>
    <w:p w:rsidR="00B25632" w:rsidRDefault="00B25632" w:rsidP="00B25632">
      <w:pPr>
        <w:pStyle w:val="Tijeloteksta"/>
        <w:spacing w:before="6"/>
      </w:pPr>
    </w:p>
    <w:p w:rsidR="00B25632" w:rsidRDefault="00B25632" w:rsidP="00B25632">
      <w:pPr>
        <w:pStyle w:val="Naslov1"/>
        <w:spacing w:before="1"/>
        <w:ind w:left="3407" w:right="3408"/>
      </w:pPr>
      <w:r>
        <w:t xml:space="preserve">               O D L U K U</w:t>
      </w:r>
    </w:p>
    <w:p w:rsidR="002D183F" w:rsidRDefault="00B25632" w:rsidP="004A4778">
      <w:pPr>
        <w:spacing w:before="25"/>
        <w:ind w:left="3375" w:right="347" w:hanging="2746"/>
        <w:jc w:val="both"/>
        <w:rPr>
          <w:b/>
          <w:sz w:val="24"/>
        </w:rPr>
      </w:pPr>
      <w:r>
        <w:rPr>
          <w:b/>
          <w:sz w:val="24"/>
        </w:rPr>
        <w:t>o utvrđivanju svojstva</w:t>
      </w:r>
      <w:r w:rsidR="00661827">
        <w:rPr>
          <w:b/>
          <w:sz w:val="24"/>
        </w:rPr>
        <w:t xml:space="preserve"> </w:t>
      </w:r>
      <w:r w:rsidR="00781A36">
        <w:rPr>
          <w:b/>
          <w:sz w:val="24"/>
        </w:rPr>
        <w:t>i</w:t>
      </w:r>
      <w:r w:rsidR="00661827">
        <w:rPr>
          <w:b/>
          <w:sz w:val="24"/>
        </w:rPr>
        <w:t xml:space="preserve">gralište </w:t>
      </w:r>
      <w:proofErr w:type="spellStart"/>
      <w:r w:rsidR="00661827">
        <w:rPr>
          <w:b/>
          <w:sz w:val="24"/>
        </w:rPr>
        <w:t>Žagra</w:t>
      </w:r>
      <w:proofErr w:type="spellEnd"/>
      <w:r w:rsidR="00661827">
        <w:rPr>
          <w:b/>
          <w:sz w:val="24"/>
        </w:rPr>
        <w:t xml:space="preserve"> </w:t>
      </w:r>
      <w:r w:rsidR="004A4778">
        <w:rPr>
          <w:b/>
          <w:sz w:val="24"/>
        </w:rPr>
        <w:t xml:space="preserve">i </w:t>
      </w:r>
      <w:r w:rsidR="00781A36">
        <w:rPr>
          <w:b/>
          <w:sz w:val="24"/>
        </w:rPr>
        <w:t>p</w:t>
      </w:r>
      <w:r w:rsidR="004A4778">
        <w:rPr>
          <w:b/>
          <w:sz w:val="24"/>
        </w:rPr>
        <w:t xml:space="preserve">arkiralište kod igrališta </w:t>
      </w:r>
      <w:proofErr w:type="spellStart"/>
      <w:r w:rsidR="004A4778">
        <w:rPr>
          <w:b/>
          <w:sz w:val="24"/>
        </w:rPr>
        <w:t>Žagra</w:t>
      </w:r>
      <w:proofErr w:type="spellEnd"/>
      <w:r w:rsidR="004A4778">
        <w:rPr>
          <w:b/>
          <w:sz w:val="24"/>
        </w:rPr>
        <w:t xml:space="preserve"> </w:t>
      </w:r>
      <w:r>
        <w:rPr>
          <w:b/>
          <w:sz w:val="24"/>
        </w:rPr>
        <w:t xml:space="preserve">kao komunalne </w:t>
      </w:r>
    </w:p>
    <w:p w:rsidR="00B25632" w:rsidRDefault="002D183F" w:rsidP="004A4778">
      <w:pPr>
        <w:spacing w:before="25"/>
        <w:ind w:left="3375" w:right="347" w:hanging="2746"/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</w:t>
      </w:r>
      <w:r w:rsidR="00B25632">
        <w:rPr>
          <w:b/>
          <w:sz w:val="24"/>
        </w:rPr>
        <w:t xml:space="preserve">infrastrukture javnog </w:t>
      </w:r>
      <w:r w:rsidR="009E2221">
        <w:rPr>
          <w:b/>
          <w:sz w:val="24"/>
        </w:rPr>
        <w:t>d</w:t>
      </w:r>
      <w:r w:rsidR="00B25632">
        <w:rPr>
          <w:b/>
          <w:sz w:val="24"/>
        </w:rPr>
        <w:t>obra u</w:t>
      </w:r>
      <w:r w:rsidR="00661827">
        <w:rPr>
          <w:b/>
          <w:sz w:val="24"/>
        </w:rPr>
        <w:t xml:space="preserve"> </w:t>
      </w:r>
      <w:r w:rsidR="00B25632">
        <w:rPr>
          <w:b/>
          <w:sz w:val="24"/>
        </w:rPr>
        <w:t>općoj uporabi</w:t>
      </w:r>
    </w:p>
    <w:p w:rsidR="00B25632" w:rsidRDefault="00B25632" w:rsidP="00B25632">
      <w:pPr>
        <w:pStyle w:val="Tijeloteksta"/>
        <w:spacing w:before="4"/>
        <w:rPr>
          <w:b/>
        </w:rPr>
      </w:pPr>
    </w:p>
    <w:p w:rsidR="00B25632" w:rsidRDefault="00B25632" w:rsidP="00B25632">
      <w:pPr>
        <w:pStyle w:val="Tijeloteksta"/>
        <w:spacing w:before="1"/>
        <w:ind w:left="4591"/>
        <w:jc w:val="both"/>
      </w:pPr>
      <w:r>
        <w:t>Članak 1.</w:t>
      </w:r>
    </w:p>
    <w:p w:rsidR="00781A36" w:rsidRDefault="00B25632" w:rsidP="00B25632">
      <w:pPr>
        <w:pStyle w:val="Tijeloteksta"/>
        <w:spacing w:before="20" w:line="249" w:lineRule="auto"/>
        <w:ind w:left="217" w:right="225" w:firstLine="15"/>
        <w:jc w:val="both"/>
      </w:pPr>
      <w:r>
        <w:t>Utvrđuje se svojstvo</w:t>
      </w:r>
      <w:r w:rsidR="00661827">
        <w:t xml:space="preserve"> </w:t>
      </w:r>
      <w:r w:rsidR="00781A36">
        <w:t>i</w:t>
      </w:r>
      <w:r w:rsidR="00661827">
        <w:t>grališt</w:t>
      </w:r>
      <w:r w:rsidR="00781A36">
        <w:t>a</w:t>
      </w:r>
      <w:r w:rsidR="00661827">
        <w:t xml:space="preserve"> </w:t>
      </w:r>
      <w:proofErr w:type="spellStart"/>
      <w:r w:rsidR="00661827">
        <w:t>Žagra</w:t>
      </w:r>
      <w:proofErr w:type="spellEnd"/>
      <w:r w:rsidR="00B265E6">
        <w:t xml:space="preserve"> i </w:t>
      </w:r>
      <w:r w:rsidR="00781A36">
        <w:t>p</w:t>
      </w:r>
      <w:r w:rsidR="00B265E6">
        <w:t xml:space="preserve">arkiralište kod igrališta </w:t>
      </w:r>
      <w:proofErr w:type="spellStart"/>
      <w:r w:rsidR="00B265E6">
        <w:t>Žagra</w:t>
      </w:r>
      <w:proofErr w:type="spellEnd"/>
      <w:r>
        <w:rPr>
          <w:b/>
          <w:color w:val="1F2023"/>
          <w:spacing w:val="2"/>
        </w:rPr>
        <w:t xml:space="preserve"> </w:t>
      </w:r>
      <w:r>
        <w:t>kao komunalne infrastrukture javnog dobra u općoj uporabi na nekretnini oznake</w:t>
      </w:r>
      <w:r w:rsidR="00781A36">
        <w:t>:</w:t>
      </w:r>
    </w:p>
    <w:p w:rsidR="00781A36" w:rsidRDefault="00781A36" w:rsidP="00B25632">
      <w:pPr>
        <w:pStyle w:val="Tijeloteksta"/>
        <w:spacing w:before="20" w:line="249" w:lineRule="auto"/>
        <w:ind w:left="217" w:right="225" w:firstLine="15"/>
        <w:jc w:val="both"/>
        <w:rPr>
          <w:color w:val="1F2023"/>
          <w:spacing w:val="2"/>
        </w:rPr>
      </w:pPr>
      <w:r>
        <w:t xml:space="preserve">Igralište </w:t>
      </w:r>
      <w:proofErr w:type="spellStart"/>
      <w:r>
        <w:t>Žagra</w:t>
      </w:r>
      <w:proofErr w:type="spellEnd"/>
      <w:r>
        <w:t>:</w:t>
      </w:r>
      <w:r w:rsidR="00B25632">
        <w:t xml:space="preserve"> </w:t>
      </w:r>
      <w:r w:rsidR="00B25632">
        <w:rPr>
          <w:color w:val="1F2023"/>
        </w:rPr>
        <w:t xml:space="preserve">k. č. </w:t>
      </w:r>
      <w:r w:rsidR="009E2221">
        <w:rPr>
          <w:color w:val="1F2023"/>
          <w:spacing w:val="2"/>
        </w:rPr>
        <w:t>284/1</w:t>
      </w:r>
      <w:r>
        <w:rPr>
          <w:color w:val="1F2023"/>
          <w:spacing w:val="2"/>
        </w:rPr>
        <w:t xml:space="preserve"> k.o. Oklaj</w:t>
      </w:r>
      <w:r w:rsidR="00661827">
        <w:rPr>
          <w:color w:val="1F2023"/>
          <w:spacing w:val="2"/>
        </w:rPr>
        <w:t>, 284/3</w:t>
      </w:r>
      <w:r>
        <w:rPr>
          <w:color w:val="1F2023"/>
          <w:spacing w:val="2"/>
        </w:rPr>
        <w:t xml:space="preserve"> k.o. Oklaj</w:t>
      </w:r>
      <w:r w:rsidR="00B25632">
        <w:rPr>
          <w:color w:val="1F2023"/>
          <w:spacing w:val="2"/>
        </w:rPr>
        <w:t xml:space="preserve"> i </w:t>
      </w:r>
      <w:r w:rsidR="007C729E">
        <w:rPr>
          <w:color w:val="1F2023"/>
          <w:spacing w:val="2"/>
        </w:rPr>
        <w:t>2</w:t>
      </w:r>
      <w:r w:rsidR="009E2221">
        <w:rPr>
          <w:color w:val="1F2023"/>
          <w:spacing w:val="2"/>
        </w:rPr>
        <w:t>84/</w:t>
      </w:r>
      <w:r w:rsidR="00661827">
        <w:rPr>
          <w:color w:val="1F2023"/>
          <w:spacing w:val="2"/>
        </w:rPr>
        <w:t>4</w:t>
      </w:r>
      <w:r w:rsidR="00B25632">
        <w:rPr>
          <w:color w:val="1F2023"/>
          <w:spacing w:val="2"/>
        </w:rPr>
        <w:t xml:space="preserve"> k.o. Oklaj</w:t>
      </w:r>
      <w:r w:rsidR="00B265E6">
        <w:rPr>
          <w:color w:val="1F2023"/>
          <w:spacing w:val="2"/>
        </w:rPr>
        <w:t xml:space="preserve"> te </w:t>
      </w:r>
    </w:p>
    <w:p w:rsidR="00781A36" w:rsidRDefault="00781A36" w:rsidP="00B25632">
      <w:pPr>
        <w:pStyle w:val="Tijeloteksta"/>
        <w:spacing w:before="20" w:line="249" w:lineRule="auto"/>
        <w:ind w:left="217" w:right="225" w:firstLine="15"/>
        <w:jc w:val="both"/>
        <w:rPr>
          <w:color w:val="1F2023"/>
          <w:spacing w:val="2"/>
        </w:rPr>
      </w:pPr>
      <w:r>
        <w:rPr>
          <w:color w:val="1F2023"/>
          <w:spacing w:val="2"/>
        </w:rPr>
        <w:t xml:space="preserve">Parkiralište kod igrališta </w:t>
      </w:r>
      <w:proofErr w:type="spellStart"/>
      <w:r>
        <w:rPr>
          <w:color w:val="1F2023"/>
          <w:spacing w:val="2"/>
        </w:rPr>
        <w:t>Žagra</w:t>
      </w:r>
      <w:proofErr w:type="spellEnd"/>
      <w:r>
        <w:rPr>
          <w:color w:val="1F2023"/>
          <w:spacing w:val="2"/>
        </w:rPr>
        <w:t xml:space="preserve">: </w:t>
      </w:r>
      <w:r w:rsidR="00B265E6">
        <w:rPr>
          <w:color w:val="1F2023"/>
          <w:spacing w:val="2"/>
        </w:rPr>
        <w:t>k.</w:t>
      </w:r>
      <w:r>
        <w:rPr>
          <w:color w:val="1F2023"/>
          <w:spacing w:val="2"/>
        </w:rPr>
        <w:t xml:space="preserve"> </w:t>
      </w:r>
      <w:r w:rsidR="00B265E6">
        <w:rPr>
          <w:color w:val="1F2023"/>
          <w:spacing w:val="2"/>
        </w:rPr>
        <w:t>č. 284/1</w:t>
      </w:r>
      <w:r>
        <w:rPr>
          <w:color w:val="1F2023"/>
          <w:spacing w:val="2"/>
        </w:rPr>
        <w:t xml:space="preserve"> k.o. Oklaj</w:t>
      </w:r>
      <w:r w:rsidR="00B265E6">
        <w:rPr>
          <w:color w:val="1F2023"/>
          <w:spacing w:val="2"/>
        </w:rPr>
        <w:t>, 284/2</w:t>
      </w:r>
      <w:r>
        <w:rPr>
          <w:color w:val="1F2023"/>
          <w:spacing w:val="2"/>
        </w:rPr>
        <w:t xml:space="preserve"> k.o. Oklaj</w:t>
      </w:r>
      <w:r w:rsidR="00B265E6">
        <w:rPr>
          <w:color w:val="1F2023"/>
          <w:spacing w:val="2"/>
        </w:rPr>
        <w:t>, 284/3</w:t>
      </w:r>
      <w:r>
        <w:rPr>
          <w:color w:val="1F2023"/>
          <w:spacing w:val="2"/>
        </w:rPr>
        <w:t xml:space="preserve"> k.o. Oklaj</w:t>
      </w:r>
      <w:r w:rsidR="00B265E6">
        <w:rPr>
          <w:color w:val="1F2023"/>
          <w:spacing w:val="2"/>
        </w:rPr>
        <w:t>, 284/4</w:t>
      </w:r>
      <w:r>
        <w:rPr>
          <w:color w:val="1F2023"/>
          <w:spacing w:val="2"/>
        </w:rPr>
        <w:t xml:space="preserve"> k.o. Oklaj</w:t>
      </w:r>
      <w:r w:rsidR="00B265E6">
        <w:rPr>
          <w:color w:val="1F2023"/>
          <w:spacing w:val="2"/>
        </w:rPr>
        <w:t xml:space="preserve"> i 285/1 k.o. Oklaj</w:t>
      </w:r>
      <w:r w:rsidR="00B25632">
        <w:rPr>
          <w:color w:val="1F2023"/>
          <w:spacing w:val="2"/>
        </w:rPr>
        <w:t xml:space="preserve"> </w:t>
      </w:r>
    </w:p>
    <w:p w:rsidR="00781A36" w:rsidRDefault="00B25632" w:rsidP="00B25632">
      <w:pPr>
        <w:pStyle w:val="Tijeloteksta"/>
        <w:spacing w:before="20" w:line="249" w:lineRule="auto"/>
        <w:ind w:left="217" w:right="225" w:firstLine="15"/>
        <w:jc w:val="both"/>
      </w:pPr>
      <w:r>
        <w:rPr>
          <w:color w:val="1F2023"/>
        </w:rPr>
        <w:t xml:space="preserve">koje </w:t>
      </w:r>
      <w:r>
        <w:rPr>
          <w:color w:val="1F2023"/>
          <w:spacing w:val="2"/>
        </w:rPr>
        <w:t xml:space="preserve">sukladno </w:t>
      </w:r>
      <w:r>
        <w:rPr>
          <w:color w:val="1F2023"/>
          <w:spacing w:val="3"/>
        </w:rPr>
        <w:t xml:space="preserve">Geodetskom </w:t>
      </w:r>
      <w:r>
        <w:rPr>
          <w:color w:val="1F2023"/>
          <w:spacing w:val="2"/>
        </w:rPr>
        <w:t xml:space="preserve">elaboratu </w:t>
      </w:r>
      <w:r>
        <w:t xml:space="preserve">izvedenog stanja komunalne </w:t>
      </w:r>
      <w:r>
        <w:rPr>
          <w:spacing w:val="2"/>
        </w:rPr>
        <w:t xml:space="preserve">infrastrukture </w:t>
      </w:r>
      <w:r>
        <w:t>za</w:t>
      </w:r>
      <w:r w:rsidR="00781A36">
        <w:t>:</w:t>
      </w:r>
    </w:p>
    <w:p w:rsidR="00781A36" w:rsidRDefault="00781A36" w:rsidP="00B25632">
      <w:pPr>
        <w:pStyle w:val="Tijeloteksta"/>
        <w:spacing w:before="20" w:line="249" w:lineRule="auto"/>
        <w:ind w:left="217" w:right="225" w:firstLine="15"/>
        <w:jc w:val="both"/>
      </w:pPr>
      <w:r>
        <w:t xml:space="preserve">Igralište </w:t>
      </w:r>
      <w:proofErr w:type="spellStart"/>
      <w:r>
        <w:t>Žagra</w:t>
      </w:r>
      <w:proofErr w:type="spellEnd"/>
      <w:r>
        <w:t xml:space="preserve"> postaje novoformirana k. č. 2513 k.o., </w:t>
      </w:r>
    </w:p>
    <w:p w:rsidR="00B25632" w:rsidRDefault="00781A36" w:rsidP="00B25632">
      <w:pPr>
        <w:pStyle w:val="Tijeloteksta"/>
        <w:spacing w:before="20" w:line="249" w:lineRule="auto"/>
        <w:ind w:left="217" w:right="225" w:firstLine="15"/>
        <w:jc w:val="both"/>
      </w:pPr>
      <w:r>
        <w:t xml:space="preserve">a parkiralište kod igrališta </w:t>
      </w:r>
      <w:proofErr w:type="spellStart"/>
      <w:r>
        <w:t>Žagra</w:t>
      </w:r>
      <w:proofErr w:type="spellEnd"/>
      <w:r>
        <w:t xml:space="preserve"> postaje novoformirana k. č. 2514 k.o. Oklaj.</w:t>
      </w:r>
    </w:p>
    <w:p w:rsidR="00B25632" w:rsidRDefault="00B25632" w:rsidP="00B25632">
      <w:pPr>
        <w:pStyle w:val="Tijeloteksta"/>
        <w:spacing w:before="6"/>
        <w:rPr>
          <w:sz w:val="25"/>
        </w:rPr>
      </w:pPr>
    </w:p>
    <w:p w:rsidR="00B25632" w:rsidRDefault="00B25632" w:rsidP="00B25632">
      <w:pPr>
        <w:pStyle w:val="Tijeloteksta"/>
        <w:ind w:left="4591"/>
        <w:jc w:val="both"/>
      </w:pPr>
      <w:r>
        <w:t>Članak 2.</w:t>
      </w:r>
    </w:p>
    <w:p w:rsidR="00B25632" w:rsidRDefault="00B25632" w:rsidP="00B25632">
      <w:pPr>
        <w:pStyle w:val="Tijeloteksta"/>
        <w:spacing w:before="20" w:line="249" w:lineRule="auto"/>
        <w:ind w:left="232" w:right="227"/>
        <w:jc w:val="both"/>
      </w:pPr>
      <w:r>
        <w:t>Komunalna infrastruktura iz članka 1. ove Odluke u naravi je</w:t>
      </w:r>
      <w:r w:rsidR="007C729E">
        <w:t xml:space="preserve"> </w:t>
      </w:r>
      <w:r w:rsidR="002777A9">
        <w:t xml:space="preserve">Igralište </w:t>
      </w:r>
      <w:proofErr w:type="spellStart"/>
      <w:r w:rsidR="002777A9">
        <w:t>Žagra</w:t>
      </w:r>
      <w:proofErr w:type="spellEnd"/>
      <w:r w:rsidR="00781A36">
        <w:t xml:space="preserve"> i parkiralište kod igrališta </w:t>
      </w:r>
      <w:proofErr w:type="spellStart"/>
      <w:r w:rsidR="00781A36">
        <w:t>Žagra</w:t>
      </w:r>
      <w:proofErr w:type="spellEnd"/>
      <w:r w:rsidR="00781A36">
        <w:t>,</w:t>
      </w:r>
      <w:r>
        <w:t xml:space="preserve"> a ista nije evidentirana u katastarskom </w:t>
      </w:r>
      <w:proofErr w:type="spellStart"/>
      <w:r>
        <w:t>operatu</w:t>
      </w:r>
      <w:proofErr w:type="spellEnd"/>
      <w:r>
        <w:t xml:space="preserve"> i zemljišnim knjigama u skladu sa svojim stvarnim stanjem.</w:t>
      </w:r>
    </w:p>
    <w:p w:rsidR="00781A36" w:rsidRDefault="00B25632" w:rsidP="00B25632">
      <w:pPr>
        <w:pStyle w:val="Tijeloteksta"/>
        <w:spacing w:before="3" w:line="249" w:lineRule="auto"/>
        <w:ind w:left="232" w:right="227"/>
        <w:jc w:val="both"/>
      </w:pPr>
      <w:r>
        <w:t xml:space="preserve">Primjenom članka 132. Zakona o komunalnom  gospodarstvu,  a  na  temelju  Geodetskog  </w:t>
      </w:r>
      <w:r>
        <w:rPr>
          <w:spacing w:val="2"/>
        </w:rPr>
        <w:t xml:space="preserve">elaborata </w:t>
      </w:r>
      <w:r>
        <w:t xml:space="preserve">izvedenog stanja komunalne </w:t>
      </w:r>
      <w:r>
        <w:rPr>
          <w:spacing w:val="2"/>
        </w:rPr>
        <w:t xml:space="preserve">infrastrukture </w:t>
      </w:r>
      <w:r>
        <w:t xml:space="preserve">za </w:t>
      </w:r>
      <w:r w:rsidR="00781A36">
        <w:t>i</w:t>
      </w:r>
      <w:r w:rsidR="002777A9">
        <w:t xml:space="preserve">gralište </w:t>
      </w:r>
      <w:proofErr w:type="spellStart"/>
      <w:r w:rsidR="002777A9">
        <w:t>Žagra</w:t>
      </w:r>
      <w:proofErr w:type="spellEnd"/>
      <w:r w:rsidR="00B265E6">
        <w:t xml:space="preserve"> i </w:t>
      </w:r>
      <w:r w:rsidR="00781A36">
        <w:t>p</w:t>
      </w:r>
      <w:r w:rsidR="00B265E6">
        <w:t>arkirališt</w:t>
      </w:r>
      <w:r w:rsidR="00781A36">
        <w:t>a</w:t>
      </w:r>
      <w:r w:rsidR="00B265E6">
        <w:t xml:space="preserve"> kod</w:t>
      </w:r>
      <w:r w:rsidR="00781A36">
        <w:t xml:space="preserve"> igrališta </w:t>
      </w:r>
      <w:proofErr w:type="spellStart"/>
      <w:r w:rsidR="00781A36">
        <w:t>Žagra</w:t>
      </w:r>
      <w:proofErr w:type="spellEnd"/>
      <w:r w:rsidR="002777A9">
        <w:t xml:space="preserve"> </w:t>
      </w:r>
      <w:r>
        <w:rPr>
          <w:spacing w:val="3"/>
        </w:rPr>
        <w:t xml:space="preserve">(broj  </w:t>
      </w:r>
      <w:r>
        <w:rPr>
          <w:spacing w:val="2"/>
        </w:rPr>
        <w:t xml:space="preserve">elaborata </w:t>
      </w:r>
      <w:r>
        <w:t>2020-13</w:t>
      </w:r>
      <w:r w:rsidR="002777A9">
        <w:t>9</w:t>
      </w:r>
      <w:r>
        <w:t xml:space="preserve"> izrađen od strane tvrtke Geomapa d.o.o., Petra Svačića</w:t>
      </w:r>
      <w:r w:rsidR="00CE224C">
        <w:t xml:space="preserve"> 91</w:t>
      </w:r>
      <w:r>
        <w:t>, 22 3</w:t>
      </w:r>
      <w:r w:rsidR="00781A36">
        <w:t>20</w:t>
      </w:r>
      <w:r>
        <w:t xml:space="preserve"> Drniš), evidentirati će se stvarno stanje komunalne infrastrukture iz članka 1. ove Odluke te će se u novo stanje upisati nekretnina</w:t>
      </w:r>
      <w:r w:rsidR="00781A36">
        <w:t>:</w:t>
      </w:r>
    </w:p>
    <w:p w:rsidR="00781A36" w:rsidRDefault="00B25632" w:rsidP="00B25632">
      <w:pPr>
        <w:pStyle w:val="Tijeloteksta"/>
        <w:spacing w:before="3" w:line="249" w:lineRule="auto"/>
        <w:ind w:left="232" w:right="227"/>
        <w:jc w:val="both"/>
      </w:pPr>
      <w:r>
        <w:t>k. č. 25</w:t>
      </w:r>
      <w:r w:rsidR="007C729E">
        <w:t>1</w:t>
      </w:r>
      <w:r w:rsidR="002777A9">
        <w:t>3</w:t>
      </w:r>
      <w:r w:rsidR="007C729E">
        <w:t xml:space="preserve"> </w:t>
      </w:r>
      <w:r>
        <w:t>k.o. Oklaj s načinom uporabe</w:t>
      </w:r>
      <w:r w:rsidR="00CE224C">
        <w:t xml:space="preserve"> </w:t>
      </w:r>
      <w:r w:rsidR="002777A9">
        <w:t>Zemljište za sport i rekreaciju</w:t>
      </w:r>
      <w:r w:rsidR="00B265E6">
        <w:t xml:space="preserve"> te</w:t>
      </w:r>
    </w:p>
    <w:p w:rsidR="00781A36" w:rsidRDefault="00781A36" w:rsidP="00B25632">
      <w:pPr>
        <w:pStyle w:val="Tijeloteksta"/>
        <w:spacing w:before="3" w:line="249" w:lineRule="auto"/>
        <w:ind w:left="232" w:right="227"/>
        <w:jc w:val="both"/>
      </w:pPr>
      <w:r>
        <w:t xml:space="preserve">k. č. 2514 k.o. Oklaj s načinom uporabe </w:t>
      </w:r>
      <w:r w:rsidR="002777A9">
        <w:t>Parkiralište</w:t>
      </w:r>
      <w:r w:rsidR="00CE224C">
        <w:t xml:space="preserve"> </w:t>
      </w:r>
    </w:p>
    <w:p w:rsidR="00B25632" w:rsidRDefault="00B25632" w:rsidP="00B25632">
      <w:pPr>
        <w:pStyle w:val="Tijeloteksta"/>
        <w:spacing w:before="3" w:line="249" w:lineRule="auto"/>
        <w:ind w:left="232" w:right="227"/>
        <w:jc w:val="both"/>
      </w:pPr>
      <w:r>
        <w:t xml:space="preserve">na ime Javno dobro u općoj uporabi, u neotuđivom vlasništvu Općine Promina, Put kroz Oklaj 144, 22 303 Oklaj, </w:t>
      </w:r>
      <w:proofErr w:type="spellStart"/>
      <w:r>
        <w:t>OIB</w:t>
      </w:r>
      <w:proofErr w:type="spellEnd"/>
      <w:r>
        <w:t>: 79734182959.</w:t>
      </w:r>
    </w:p>
    <w:p w:rsidR="00B25632" w:rsidRDefault="00B25632" w:rsidP="00B25632">
      <w:pPr>
        <w:pStyle w:val="Tijeloteksta"/>
        <w:spacing w:before="6"/>
        <w:rPr>
          <w:sz w:val="27"/>
        </w:rPr>
      </w:pPr>
    </w:p>
    <w:p w:rsidR="00B25632" w:rsidRDefault="00B25632" w:rsidP="00B25632">
      <w:pPr>
        <w:pStyle w:val="Tijeloteksta"/>
        <w:ind w:left="4576"/>
        <w:jc w:val="both"/>
      </w:pPr>
      <w:r>
        <w:t>Članak 3.</w:t>
      </w:r>
    </w:p>
    <w:p w:rsidR="00B25632" w:rsidRDefault="00B25632" w:rsidP="00B25632">
      <w:pPr>
        <w:pStyle w:val="Tijeloteksta"/>
        <w:spacing w:before="15" w:line="249" w:lineRule="auto"/>
        <w:ind w:left="217" w:right="229" w:firstLine="15"/>
        <w:jc w:val="both"/>
      </w:pPr>
      <w:r>
        <w:t>Ovu Odluku dužni su provesti Državna geodetska uprava, Područni ured za katastar Šibenik, Odjel za katastar nekretnina Drniš i Općinski sud u Šibeniku, Zemljišnoknjižni odjel</w:t>
      </w:r>
      <w:r>
        <w:rPr>
          <w:spacing w:val="-6"/>
        </w:rPr>
        <w:t xml:space="preserve"> </w:t>
      </w:r>
      <w:r>
        <w:t>Drniš.</w:t>
      </w:r>
    </w:p>
    <w:p w:rsidR="00B25632" w:rsidRDefault="00B25632" w:rsidP="00B25632">
      <w:pPr>
        <w:pStyle w:val="Tijeloteksta"/>
        <w:spacing w:before="1"/>
        <w:rPr>
          <w:sz w:val="26"/>
        </w:rPr>
      </w:pPr>
    </w:p>
    <w:p w:rsidR="00B25632" w:rsidRDefault="00B25632" w:rsidP="00B25632">
      <w:pPr>
        <w:pStyle w:val="Tijeloteksta"/>
        <w:spacing w:before="1"/>
        <w:ind w:left="4692"/>
        <w:jc w:val="both"/>
      </w:pPr>
      <w:r>
        <w:t>Članak 4.</w:t>
      </w:r>
    </w:p>
    <w:p w:rsidR="00B25632" w:rsidRDefault="00B25632" w:rsidP="00B25632">
      <w:pPr>
        <w:pStyle w:val="Tijeloteksta"/>
        <w:spacing w:before="14"/>
        <w:ind w:left="232"/>
        <w:jc w:val="both"/>
      </w:pPr>
      <w:r>
        <w:t>Ova Odluka stupa na snagu osmog dana nakon objave u „Službenom glasilu Općine Promina“.</w:t>
      </w:r>
    </w:p>
    <w:p w:rsidR="00B25632" w:rsidRDefault="00B25632" w:rsidP="00B25632">
      <w:pPr>
        <w:pStyle w:val="Tijeloteksta"/>
        <w:spacing w:before="8"/>
        <w:rPr>
          <w:sz w:val="18"/>
        </w:rPr>
      </w:pPr>
    </w:p>
    <w:p w:rsidR="00B25632" w:rsidRDefault="00B25632" w:rsidP="00B25632">
      <w:pPr>
        <w:pStyle w:val="Tijeloteksta"/>
        <w:spacing w:before="90" w:line="252" w:lineRule="auto"/>
        <w:ind w:left="232" w:right="7244"/>
      </w:pPr>
      <w:r>
        <w:t xml:space="preserve">KLASA: 010-10/20-01/1 </w:t>
      </w:r>
      <w:proofErr w:type="spellStart"/>
      <w:r>
        <w:t>URBROJ</w:t>
      </w:r>
      <w:proofErr w:type="spellEnd"/>
      <w:r>
        <w:t>: 2182/09-20-0</w:t>
      </w:r>
      <w:r w:rsidR="002777A9">
        <w:t>4</w:t>
      </w:r>
    </w:p>
    <w:p w:rsidR="00B25632" w:rsidRDefault="00B25632" w:rsidP="00B25632">
      <w:pPr>
        <w:pStyle w:val="Tijeloteksta"/>
        <w:spacing w:before="1"/>
        <w:ind w:left="232"/>
      </w:pPr>
      <w:r>
        <w:t xml:space="preserve">Oklaj, </w:t>
      </w:r>
      <w:r w:rsidR="009713F8">
        <w:t xml:space="preserve">__________ </w:t>
      </w:r>
      <w:r>
        <w:t xml:space="preserve"> 2020.</w:t>
      </w:r>
    </w:p>
    <w:p w:rsidR="00B25632" w:rsidRPr="003C6E0F" w:rsidRDefault="00B25632" w:rsidP="00B25632">
      <w:pPr>
        <w:pStyle w:val="Tijeloteksta"/>
        <w:spacing w:before="1"/>
        <w:ind w:left="232"/>
        <w:jc w:val="center"/>
        <w:rPr>
          <w:b/>
        </w:rPr>
      </w:pPr>
      <w:r w:rsidRPr="003C6E0F">
        <w:rPr>
          <w:b/>
        </w:rPr>
        <w:t>OPĆINSKO VIJEĆE</w:t>
      </w:r>
    </w:p>
    <w:p w:rsidR="00B25632" w:rsidRPr="003C6E0F" w:rsidRDefault="00B25632" w:rsidP="00B25632">
      <w:pPr>
        <w:pStyle w:val="Tijeloteksta"/>
        <w:spacing w:before="1"/>
        <w:ind w:left="232"/>
        <w:jc w:val="center"/>
        <w:rPr>
          <w:b/>
        </w:rPr>
      </w:pPr>
      <w:r w:rsidRPr="003C6E0F">
        <w:rPr>
          <w:b/>
        </w:rPr>
        <w:t>OPĆINE PROMINA</w:t>
      </w:r>
    </w:p>
    <w:p w:rsidR="00B25632" w:rsidRPr="003C6E0F" w:rsidRDefault="00B25632" w:rsidP="00B25632">
      <w:pPr>
        <w:pStyle w:val="Tijeloteksta"/>
        <w:spacing w:before="1"/>
        <w:ind w:left="232"/>
        <w:jc w:val="center"/>
        <w:rPr>
          <w:b/>
        </w:rPr>
      </w:pPr>
    </w:p>
    <w:p w:rsidR="00B25632" w:rsidRPr="003C6E0F" w:rsidRDefault="00B25632" w:rsidP="00B25632">
      <w:pPr>
        <w:pStyle w:val="Tijeloteksta"/>
        <w:spacing w:before="1"/>
        <w:ind w:left="232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6E0F">
        <w:rPr>
          <w:b/>
        </w:rPr>
        <w:t>PREDSJEDNICA:</w:t>
      </w:r>
    </w:p>
    <w:p w:rsidR="00B25632" w:rsidRPr="003C6E0F" w:rsidRDefault="00B25632" w:rsidP="00B25632">
      <w:pPr>
        <w:pStyle w:val="Tijeloteksta"/>
        <w:spacing w:before="1"/>
        <w:ind w:left="232"/>
        <w:rPr>
          <w:b/>
        </w:rPr>
      </w:pPr>
    </w:p>
    <w:p w:rsidR="00B25632" w:rsidRDefault="00B25632" w:rsidP="00B25632">
      <w:pPr>
        <w:pStyle w:val="Tijeloteksta"/>
        <w:spacing w:before="1"/>
        <w:ind w:left="23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Davorka </w:t>
      </w:r>
      <w:proofErr w:type="spellStart"/>
      <w:r>
        <w:t>Bronić</w:t>
      </w:r>
      <w:proofErr w:type="spellEnd"/>
    </w:p>
    <w:p w:rsidR="00B25632" w:rsidRDefault="00B25632" w:rsidP="00B25632">
      <w:pPr>
        <w:pStyle w:val="Tijeloteksta"/>
        <w:spacing w:before="1"/>
        <w:ind w:left="232"/>
        <w:sectPr w:rsidR="00B25632">
          <w:pgSz w:w="11910" w:h="16840"/>
          <w:pgMar w:top="1380" w:right="900" w:bottom="280" w:left="900" w:header="720" w:footer="720" w:gutter="0"/>
          <w:cols w:space="720"/>
        </w:sectPr>
      </w:pPr>
    </w:p>
    <w:p w:rsidR="00B25632" w:rsidRDefault="00B25632" w:rsidP="00B25632">
      <w:pPr>
        <w:spacing w:before="77"/>
        <w:ind w:left="232"/>
        <w:rPr>
          <w:sz w:val="23"/>
        </w:rPr>
      </w:pPr>
      <w:r>
        <w:rPr>
          <w:sz w:val="23"/>
        </w:rPr>
        <w:lastRenderedPageBreak/>
        <w:t>PRAVNA OSNOVA:</w:t>
      </w:r>
    </w:p>
    <w:p w:rsidR="00B25632" w:rsidRDefault="00B25632" w:rsidP="00B25632">
      <w:pPr>
        <w:pStyle w:val="Tijeloteksta"/>
        <w:spacing w:before="13"/>
        <w:ind w:left="232"/>
      </w:pPr>
      <w:r>
        <w:t>Zakona o komunalnom gospodarstvu („Narodne novine“, broj 68/18</w:t>
      </w:r>
      <w:r w:rsidR="00FD4387">
        <w:t>, 110/18 i 32/20</w:t>
      </w:r>
      <w:r>
        <w:t>)</w:t>
      </w:r>
    </w:p>
    <w:p w:rsidR="00B25632" w:rsidRDefault="00B25632" w:rsidP="00B25632">
      <w:pPr>
        <w:pStyle w:val="Tijeloteksta"/>
        <w:spacing w:before="4"/>
        <w:rPr>
          <w:sz w:val="22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647065</wp:posOffset>
                </wp:positionH>
                <wp:positionV relativeFrom="paragraph">
                  <wp:posOffset>191770</wp:posOffset>
                </wp:positionV>
                <wp:extent cx="6266815" cy="200025"/>
                <wp:effectExtent l="8890" t="7620" r="10795" b="11430"/>
                <wp:wrapTopAndBottom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6815" cy="20002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25632" w:rsidRDefault="00B25632" w:rsidP="00B25632">
                            <w:pPr>
                              <w:spacing w:before="21"/>
                              <w:ind w:left="109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</w:rPr>
                              <w:t>PREDLAGATELJ: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50.95pt;margin-top:15.1pt;width:493.45pt;height:15.7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" filled="f" strokeweight=".16936mm">
                <v:textbox inset="0,0,0,0">
                  <w:txbxContent>
                    <w:p w:rsidR="00B25632" w:rsidRDefault="00B25632" w:rsidP="00B25632">
                      <w:pPr>
                        <w:spacing w:before="21"/>
                        <w:ind w:left="109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sz w:val="23"/>
                        </w:rPr>
                        <w:t>PREDLAGATELJ: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25632" w:rsidRDefault="00B25632" w:rsidP="00B25632">
      <w:pPr>
        <w:spacing w:before="88" w:line="249" w:lineRule="auto"/>
        <w:ind w:left="242" w:right="347" w:hanging="10"/>
        <w:jc w:val="both"/>
        <w:rPr>
          <w:sz w:val="23"/>
        </w:rPr>
      </w:pPr>
      <w:r>
        <w:rPr>
          <w:sz w:val="23"/>
        </w:rPr>
        <w:t xml:space="preserve">Sukladno odredbi članka </w:t>
      </w:r>
      <w:r w:rsidR="00781A36">
        <w:rPr>
          <w:sz w:val="23"/>
        </w:rPr>
        <w:t>54</w:t>
      </w:r>
      <w:r>
        <w:rPr>
          <w:sz w:val="23"/>
        </w:rPr>
        <w:t xml:space="preserve">. Statuta Općine Promina </w:t>
      </w:r>
      <w:r>
        <w:rPr>
          <w:sz w:val="24"/>
        </w:rPr>
        <w:t>(„Službeni vjesnik Šibensko-kninske županije“, broj 2/18, 7/18 i „Službeno glasilo Općine Promina“, broj 1/20)</w:t>
      </w:r>
      <w:r>
        <w:rPr>
          <w:spacing w:val="-4"/>
          <w:sz w:val="23"/>
        </w:rPr>
        <w:t xml:space="preserve"> </w:t>
      </w:r>
      <w:r>
        <w:rPr>
          <w:sz w:val="23"/>
        </w:rPr>
        <w:t>predlagatelj</w:t>
      </w:r>
      <w:r>
        <w:rPr>
          <w:spacing w:val="-3"/>
          <w:sz w:val="23"/>
        </w:rPr>
        <w:t xml:space="preserve"> </w:t>
      </w:r>
      <w:r>
        <w:rPr>
          <w:sz w:val="23"/>
        </w:rPr>
        <w:t>odluke</w:t>
      </w:r>
      <w:r>
        <w:rPr>
          <w:spacing w:val="-4"/>
          <w:sz w:val="23"/>
        </w:rPr>
        <w:t xml:space="preserve"> </w:t>
      </w:r>
      <w:r>
        <w:rPr>
          <w:sz w:val="23"/>
        </w:rPr>
        <w:t>je</w:t>
      </w:r>
      <w:r>
        <w:rPr>
          <w:spacing w:val="-3"/>
          <w:sz w:val="23"/>
        </w:rPr>
        <w:t xml:space="preserve"> </w:t>
      </w:r>
      <w:r>
        <w:rPr>
          <w:sz w:val="23"/>
        </w:rPr>
        <w:t>općinski</w:t>
      </w:r>
      <w:r>
        <w:rPr>
          <w:spacing w:val="-3"/>
          <w:sz w:val="23"/>
        </w:rPr>
        <w:t xml:space="preserve"> </w:t>
      </w:r>
      <w:r>
        <w:rPr>
          <w:sz w:val="23"/>
        </w:rPr>
        <w:t>načelnik.</w:t>
      </w:r>
    </w:p>
    <w:p w:rsidR="00B25632" w:rsidRDefault="00B25632" w:rsidP="00B25632">
      <w:pPr>
        <w:pStyle w:val="Tijeloteksta"/>
        <w:spacing w:before="3"/>
        <w:jc w:val="both"/>
        <w:rPr>
          <w:sz w:val="21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647065</wp:posOffset>
                </wp:positionH>
                <wp:positionV relativeFrom="paragraph">
                  <wp:posOffset>183515</wp:posOffset>
                </wp:positionV>
                <wp:extent cx="6266815" cy="207645"/>
                <wp:effectExtent l="8890" t="13335" r="10795" b="7620"/>
                <wp:wrapTopAndBottom/>
                <wp:docPr id="1" name="Tekstni okvi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6815" cy="20764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25632" w:rsidRDefault="00B25632" w:rsidP="00B25632">
                            <w:pPr>
                              <w:spacing w:before="20"/>
                              <w:ind w:left="10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OBRAZLOŽENJE: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id="Tekstni okvir 1" o:spid="_x0000_s1027" type="#_x0000_t202" style="position:absolute;left:0;text-align:left;margin-left:50.95pt;margin-top:14.45pt;width:493.45pt;height:16.3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" filled="f" strokeweight=".16936mm">
                <v:textbox inset="0,0,0,0">
                  <w:txbxContent>
                    <w:p w:rsidR="00B25632" w:rsidRDefault="00B25632" w:rsidP="00B25632">
                      <w:pPr>
                        <w:spacing w:before="20"/>
                        <w:ind w:left="109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OBRAZLOŽENJE: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25632" w:rsidRDefault="00B25632" w:rsidP="00B25632">
      <w:pPr>
        <w:pStyle w:val="Tijeloteksta"/>
        <w:spacing w:before="87" w:line="249" w:lineRule="auto"/>
        <w:ind w:left="227" w:right="228" w:hanging="11"/>
        <w:jc w:val="both"/>
      </w:pPr>
      <w:r>
        <w:t xml:space="preserve">Zakon o komunalnom gospodarstvu („Narodne novine“, broj 68/18, 110/18 i 32/20), sadrži dosta novina u nadležnostima </w:t>
      </w:r>
      <w:proofErr w:type="spellStart"/>
      <w:r>
        <w:t>JLS</w:t>
      </w:r>
      <w:proofErr w:type="spellEnd"/>
      <w:r>
        <w:t>-a, načinu postupanja i upisa komunalne infrastrukture u evidencije i zemljišne knjige.</w:t>
      </w:r>
    </w:p>
    <w:p w:rsidR="00B25632" w:rsidRDefault="00B25632" w:rsidP="00B25632">
      <w:pPr>
        <w:pStyle w:val="Tijeloteksta"/>
        <w:spacing w:before="169"/>
        <w:ind w:left="217"/>
        <w:jc w:val="both"/>
      </w:pPr>
      <w:r>
        <w:t>Članak 59. predmetnog Zakona je odredio da komunalna infrastruktura jesu: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spacing w:before="179"/>
        <w:rPr>
          <w:sz w:val="24"/>
        </w:rPr>
      </w:pPr>
      <w:r>
        <w:rPr>
          <w:sz w:val="24"/>
        </w:rPr>
        <w:t>nerazvrstane</w:t>
      </w:r>
      <w:r>
        <w:rPr>
          <w:spacing w:val="-3"/>
          <w:sz w:val="24"/>
        </w:rPr>
        <w:t xml:space="preserve"> </w:t>
      </w:r>
      <w:r>
        <w:rPr>
          <w:sz w:val="24"/>
        </w:rPr>
        <w:t>ceste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javne prometne površine na kojima nije dopušten promet motornih</w:t>
      </w:r>
      <w:r>
        <w:rPr>
          <w:spacing w:val="-6"/>
          <w:sz w:val="24"/>
        </w:rPr>
        <w:t xml:space="preserve"> </w:t>
      </w:r>
      <w:r>
        <w:rPr>
          <w:sz w:val="24"/>
        </w:rPr>
        <w:t>vozila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javna</w:t>
      </w:r>
      <w:r>
        <w:rPr>
          <w:spacing w:val="-2"/>
          <w:sz w:val="24"/>
        </w:rPr>
        <w:t xml:space="preserve"> </w:t>
      </w:r>
      <w:r>
        <w:rPr>
          <w:sz w:val="24"/>
        </w:rPr>
        <w:t>parkirališta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javne garaže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javne zelene</w:t>
      </w:r>
      <w:r>
        <w:rPr>
          <w:spacing w:val="-2"/>
          <w:sz w:val="24"/>
        </w:rPr>
        <w:t xml:space="preserve"> </w:t>
      </w:r>
      <w:r>
        <w:rPr>
          <w:sz w:val="24"/>
        </w:rPr>
        <w:t>površine</w:t>
      </w:r>
    </w:p>
    <w:p w:rsidR="00B25632" w:rsidRPr="00F815AC" w:rsidRDefault="00B25632" w:rsidP="00B25632">
      <w:pPr>
        <w:pStyle w:val="Naslov1"/>
        <w:numPr>
          <w:ilvl w:val="1"/>
          <w:numId w:val="1"/>
        </w:numPr>
        <w:tabs>
          <w:tab w:val="left" w:pos="1083"/>
        </w:tabs>
        <w:spacing w:before="2" w:line="275" w:lineRule="exact"/>
        <w:rPr>
          <w:b w:val="0"/>
        </w:rPr>
      </w:pPr>
      <w:r w:rsidRPr="00F815AC">
        <w:rPr>
          <w:b w:val="0"/>
        </w:rPr>
        <w:t>građevine i uređaji javne</w:t>
      </w:r>
      <w:r w:rsidRPr="00F815AC">
        <w:rPr>
          <w:b w:val="0"/>
          <w:spacing w:val="-3"/>
        </w:rPr>
        <w:t xml:space="preserve"> </w:t>
      </w:r>
      <w:r w:rsidRPr="00F815AC">
        <w:rPr>
          <w:b w:val="0"/>
        </w:rPr>
        <w:t>namjene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spacing w:line="275" w:lineRule="exact"/>
        <w:rPr>
          <w:sz w:val="24"/>
        </w:rPr>
      </w:pPr>
      <w:r>
        <w:rPr>
          <w:sz w:val="24"/>
        </w:rPr>
        <w:t>javna rasvjeta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groblja i krematoriji na</w:t>
      </w:r>
      <w:r>
        <w:rPr>
          <w:spacing w:val="-1"/>
          <w:sz w:val="24"/>
        </w:rPr>
        <w:t xml:space="preserve"> </w:t>
      </w:r>
      <w:r>
        <w:rPr>
          <w:sz w:val="24"/>
        </w:rPr>
        <w:t>grobljima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građevine namijenjene obavljanju javnog</w:t>
      </w:r>
      <w:r>
        <w:rPr>
          <w:spacing w:val="-5"/>
          <w:sz w:val="24"/>
        </w:rPr>
        <w:t xml:space="preserve"> </w:t>
      </w:r>
      <w:r>
        <w:rPr>
          <w:sz w:val="24"/>
        </w:rPr>
        <w:t>prijevoza.</w:t>
      </w:r>
    </w:p>
    <w:p w:rsidR="00B25632" w:rsidRDefault="00B25632" w:rsidP="00B25632">
      <w:pPr>
        <w:pStyle w:val="Tijeloteksta"/>
        <w:spacing w:line="249" w:lineRule="auto"/>
        <w:ind w:left="227" w:right="229" w:hanging="11"/>
        <w:jc w:val="both"/>
      </w:pPr>
      <w:r>
        <w:t>Zakon također uređuje pravno-tehničke radnje, te postupak za evidentiranje u katastru i upis u zemljišne knjige komunalne infrastrukture izgrađene do dana stupanja na snagu Zakona, odnosno do 4. kolovoza 2018. godine. Svrha opisanih odredbi je konačno razrješenje pravnog statusa komunalne infrastrukture koja nije evidentirana u katastru i koja nije upisana u zemljišne knjige, radi usklađenja upisa sa stvarnim stanjem izgrađene komunalne</w:t>
      </w:r>
      <w:r>
        <w:rPr>
          <w:spacing w:val="-11"/>
        </w:rPr>
        <w:t xml:space="preserve"> </w:t>
      </w:r>
      <w:r>
        <w:t>infrastrukture.</w:t>
      </w:r>
    </w:p>
    <w:p w:rsidR="00B25632" w:rsidRDefault="00B25632" w:rsidP="00B25632">
      <w:pPr>
        <w:pStyle w:val="Tijeloteksta"/>
        <w:spacing w:line="249" w:lineRule="auto"/>
        <w:ind w:left="227" w:right="230" w:hanging="11"/>
        <w:jc w:val="both"/>
      </w:pPr>
      <w:r>
        <w:t>Odredbama članka 61. i 62. istog Zakona određen je pravni status komunalne infrastrukture, te istu definira kao javno dobro u općoj uporabi u vlasništvu odnosno suvlasništvu jedinice lokalne samouprave i/ili osobe koja obavlja komunalnu djelatnost, komunalna infrastruktura može biti u pravnom prometu isključivo između jedinica lokalne samouprave i pravnih osoba koje obavljaju komunalne djelatnosti te druge osobe na toj infrastrukturi ne mogu stjecati stvarna prava, osim prava služnosti i prava građenja sukladno odluci predstavničkog tijela jedinice lokalne samouprave, te ne može biti predmet ovrhe niti</w:t>
      </w:r>
      <w:r>
        <w:rPr>
          <w:spacing w:val="-1"/>
        </w:rPr>
        <w:t xml:space="preserve"> </w:t>
      </w:r>
      <w:r>
        <w:t>stečaja.</w:t>
      </w:r>
    </w:p>
    <w:p w:rsidR="00B25632" w:rsidRDefault="00B25632" w:rsidP="00B25632">
      <w:pPr>
        <w:pStyle w:val="Tijeloteksta"/>
        <w:spacing w:line="249" w:lineRule="auto"/>
        <w:ind w:left="227" w:right="229" w:hanging="11"/>
        <w:jc w:val="both"/>
      </w:pPr>
      <w:r>
        <w:t>Komunalna infrastruktura stječe status javnog dobra u općoj uporabi danom njezine izgradnje, uređenja odnosno stupanja na snagu odluke o proglašenju javnog dobra u općoj uporabi, te se upisuje u zemljišne knjige kao javno dobro u općoj uporabi i kao vlasništvo odnosno suvlasništvo jedinice lokalne samouprave i/ili javnog isporučitelja koji upravlja komunalnom infrastrukturom.</w:t>
      </w:r>
    </w:p>
    <w:p w:rsidR="00B25632" w:rsidRDefault="00B25632" w:rsidP="00B25632">
      <w:pPr>
        <w:pStyle w:val="Tijeloteksta"/>
        <w:ind w:left="217"/>
        <w:jc w:val="both"/>
      </w:pPr>
      <w:r>
        <w:t>Iznimka od ovog pravila je komunalna infrastrukturu izgrađena na pomorskom dobru.</w:t>
      </w:r>
    </w:p>
    <w:p w:rsidR="00B25632" w:rsidRDefault="00B25632" w:rsidP="00B25632">
      <w:pPr>
        <w:pStyle w:val="Tijeloteksta"/>
        <w:spacing w:before="179" w:line="249" w:lineRule="auto"/>
        <w:ind w:left="227" w:right="229" w:hanging="11"/>
        <w:jc w:val="both"/>
      </w:pPr>
      <w:r>
        <w:t>Odluku o proglašenju komunalne infrastrukture javnim dobrom u općoj uporabi i odluku o ukidanju statusa javnog dobra u općoj uporabi komunalne infrastrukture donosi predstavničko tijelo jedinice lokalne samouprave.</w:t>
      </w:r>
    </w:p>
    <w:p w:rsidR="00B25632" w:rsidRDefault="00B25632" w:rsidP="00B25632">
      <w:pPr>
        <w:pStyle w:val="Tijeloteksta"/>
        <w:spacing w:before="2" w:line="249" w:lineRule="auto"/>
        <w:ind w:left="227" w:right="228" w:hanging="11"/>
        <w:jc w:val="both"/>
      </w:pPr>
      <w:r>
        <w:t>Odluka mora sadržavati naziv i vrstu komunalne infrastrukture, podatak o katastarskoj i zemljišnoknjižnoj čestici i katastarskoj općini na kojoj se infrastruktura nalazi te nalog nadležnom sudu za upis statusa javnog dobra u općoj uporabi u zemljišne knjige odnosno za brisanje tog  statusa</w:t>
      </w:r>
      <w:r>
        <w:rPr>
          <w:spacing w:val="30"/>
        </w:rPr>
        <w:t xml:space="preserve"> </w:t>
      </w:r>
      <w:r>
        <w:t>ako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t>radi</w:t>
      </w:r>
      <w:r>
        <w:rPr>
          <w:spacing w:val="31"/>
        </w:rPr>
        <w:t xml:space="preserve"> </w:t>
      </w:r>
      <w:r>
        <w:t>o</w:t>
      </w:r>
      <w:r>
        <w:rPr>
          <w:spacing w:val="31"/>
        </w:rPr>
        <w:t xml:space="preserve"> </w:t>
      </w:r>
      <w:r>
        <w:t>infrastrukturi</w:t>
      </w:r>
      <w:r>
        <w:rPr>
          <w:spacing w:val="31"/>
        </w:rPr>
        <w:t xml:space="preserve"> </w:t>
      </w:r>
      <w:r>
        <w:t>koja</w:t>
      </w:r>
      <w:r>
        <w:rPr>
          <w:spacing w:val="31"/>
        </w:rPr>
        <w:t xml:space="preserve"> </w:t>
      </w:r>
      <w:r>
        <w:t>se</w:t>
      </w:r>
      <w:r>
        <w:rPr>
          <w:spacing w:val="31"/>
        </w:rPr>
        <w:t xml:space="preserve"> </w:t>
      </w:r>
      <w:r>
        <w:t>upisuje</w:t>
      </w:r>
      <w:r>
        <w:rPr>
          <w:spacing w:val="31"/>
        </w:rPr>
        <w:t xml:space="preserve"> </w:t>
      </w:r>
      <w:r>
        <w:t>u</w:t>
      </w:r>
      <w:r>
        <w:rPr>
          <w:spacing w:val="31"/>
        </w:rPr>
        <w:t xml:space="preserve"> </w:t>
      </w:r>
      <w:r>
        <w:t>zemljišne</w:t>
      </w:r>
      <w:r>
        <w:rPr>
          <w:spacing w:val="31"/>
        </w:rPr>
        <w:t xml:space="preserve"> </w:t>
      </w:r>
      <w:r>
        <w:t>knjige,</w:t>
      </w:r>
      <w:r>
        <w:rPr>
          <w:spacing w:val="32"/>
        </w:rPr>
        <w:t xml:space="preserve"> </w:t>
      </w:r>
      <w:r>
        <w:t>te</w:t>
      </w:r>
      <w:r>
        <w:rPr>
          <w:spacing w:val="31"/>
        </w:rPr>
        <w:t xml:space="preserve"> </w:t>
      </w:r>
      <w:r>
        <w:t>se</w:t>
      </w:r>
      <w:r>
        <w:rPr>
          <w:spacing w:val="31"/>
        </w:rPr>
        <w:t xml:space="preserve"> </w:t>
      </w:r>
      <w:r>
        <w:t>dostavlja</w:t>
      </w:r>
      <w:r>
        <w:rPr>
          <w:spacing w:val="31"/>
        </w:rPr>
        <w:t xml:space="preserve"> </w:t>
      </w:r>
      <w:r>
        <w:t>nadležnom</w:t>
      </w:r>
    </w:p>
    <w:p w:rsidR="00B25632" w:rsidRDefault="00B25632" w:rsidP="00B25632">
      <w:pPr>
        <w:spacing w:line="249" w:lineRule="auto"/>
        <w:jc w:val="both"/>
        <w:sectPr w:rsidR="00B25632">
          <w:pgSz w:w="11910" w:h="16840"/>
          <w:pgMar w:top="1360" w:right="900" w:bottom="280" w:left="900" w:header="720" w:footer="720" w:gutter="0"/>
          <w:cols w:space="720"/>
        </w:sectPr>
      </w:pPr>
    </w:p>
    <w:p w:rsidR="00B25632" w:rsidRDefault="00B25632" w:rsidP="00B25632">
      <w:pPr>
        <w:pStyle w:val="Tijeloteksta"/>
        <w:spacing w:before="76" w:line="249" w:lineRule="auto"/>
        <w:ind w:left="227" w:right="230"/>
        <w:jc w:val="both"/>
      </w:pPr>
      <w:r>
        <w:lastRenderedPageBreak/>
        <w:t>sudu radi provedbe upisa statusa javnog dobra u općoj uporabi u zemljišnim knjigama odnosno radi brisanja tog statusa.</w:t>
      </w:r>
    </w:p>
    <w:p w:rsidR="00B25632" w:rsidRDefault="00B25632" w:rsidP="00B25632">
      <w:pPr>
        <w:pStyle w:val="Tijeloteksta"/>
        <w:spacing w:before="4" w:line="249" w:lineRule="auto"/>
        <w:ind w:left="227" w:right="229" w:hanging="11"/>
        <w:jc w:val="both"/>
      </w:pPr>
      <w:r>
        <w:t>Odredbom članka 132. Zakona komunalna infrastruktura izgrađena do dana stupanja na snagu ovoga Zakona koja nije evidentirana u katastru ili nije evidentirano njezino stvarno stanje evidentira se u katastru na temelju geodetskog elaborata izvedenog stanja komunalne infrastrukture, potvrde jedinice lokalne samouprave da se radi o komunalnoj infrastrukturi, a koje pribavlja i nadležnom tijelu za katastar dostavlja jedinica lokalne samouprave odnosno javni isporučitelj koji upravlja komunalnom infrastrukturom i rješenja nadležnog zemljišnoknjižnog suda o provedbi prijavnog lista u zemljišnu knjigu. Prijavni list za prethodnu provedbu u zemljišnoj knjizi izrađen u skladu s pregledanim i potvrđenim geodetskim elaboratom izvedenog stanja komunalne infrastrukture i potvrdu jedinice lokalne samouprave da se radi o komunalnoj infrastrukturi zemljišnoknjižnom sudu po službenoj dužnosti dostavlja nadležni ured za katastar. Potvrda mora sadržavati katastarske i zemljišnoknjižne oznake zemljišta na kojem se nalazi i tvrdnju da se radi o komunalnoj infrastrukturi.</w:t>
      </w:r>
    </w:p>
    <w:p w:rsidR="00B25632" w:rsidRDefault="00B25632" w:rsidP="00B25632">
      <w:pPr>
        <w:pStyle w:val="Tijeloteksta"/>
        <w:spacing w:line="249" w:lineRule="auto"/>
        <w:ind w:left="227" w:right="229" w:hanging="11"/>
        <w:jc w:val="both"/>
      </w:pPr>
      <w:r>
        <w:t>Komunalna infrastruktura evidentira se u katastru i upisuje u zemljišne knjige kao neotuđivo vlasništvo odnosno suvlasništvo jedinice lokalne samouprave na čijem se području nalazi i/ili javnog isporučitelja koji upravlja komunalnom infrastrukturom, neovisno o postojanju upisa vlasništva i/ili drugih stvarnih prava treće</w:t>
      </w:r>
      <w:r>
        <w:rPr>
          <w:spacing w:val="-7"/>
        </w:rPr>
        <w:t xml:space="preserve"> </w:t>
      </w:r>
      <w:r>
        <w:t>osobe.</w:t>
      </w:r>
    </w:p>
    <w:p w:rsidR="00B25632" w:rsidRDefault="00B25632" w:rsidP="00B25632">
      <w:pPr>
        <w:pStyle w:val="Tijeloteksta"/>
        <w:spacing w:line="249" w:lineRule="auto"/>
        <w:ind w:left="227" w:right="230" w:hanging="11"/>
        <w:jc w:val="both"/>
      </w:pPr>
      <w:r>
        <w:t>Odredbe ovoga Zakona ne odnose se na komunalnu infrastrukturu izgrađenu na zemljištu u vlasništvu Republike Hrvatske, te je taj postupak uređen zakonom kojim se uređuje upravljanje i raspolaganje imovinom u vlasništvu Republike Hrvatske.</w:t>
      </w:r>
    </w:p>
    <w:p w:rsidR="00B25632" w:rsidRDefault="00B25632" w:rsidP="00B25632">
      <w:pPr>
        <w:pStyle w:val="Tijeloteksta"/>
        <w:spacing w:line="249" w:lineRule="auto"/>
        <w:ind w:left="227" w:right="229" w:hanging="11"/>
        <w:jc w:val="both"/>
      </w:pPr>
      <w:r>
        <w:t>Kako je odredbama Zakona omogućena evidencija u katastru i upis u zemljišne knjige, potrebno je pristupiti donošenju ove Odluke s ciljem usklađenja stvarnog stanja, obzirom na veliku važnost komunalne infrastrukture za kvalitetno obavljanje osnovnih djelatnosti Općine Promina.</w:t>
      </w:r>
    </w:p>
    <w:p w:rsidR="003721F4" w:rsidRDefault="003721F4"/>
    <w:sectPr w:rsidR="003721F4">
      <w:pgSz w:w="11910" w:h="16840"/>
      <w:pgMar w:top="1360" w:right="9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917F8A"/>
    <w:multiLevelType w:val="hybridMultilevel"/>
    <w:tmpl w:val="43023698"/>
    <w:lvl w:ilvl="0" w:tplc="B386A62A">
      <w:start w:val="18"/>
      <w:numFmt w:val="decimal"/>
      <w:lvlText w:val="%1."/>
      <w:lvlJc w:val="left"/>
      <w:pPr>
        <w:ind w:left="242" w:hanging="37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1" w:tplc="05887574">
      <w:start w:val="1"/>
      <w:numFmt w:val="decimal"/>
      <w:lvlText w:val="%2."/>
      <w:lvlJc w:val="left"/>
      <w:pPr>
        <w:ind w:left="1082" w:hanging="26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2" w:tplc="7116C1EA">
      <w:numFmt w:val="bullet"/>
      <w:lvlText w:val="•"/>
      <w:lvlJc w:val="left"/>
      <w:pPr>
        <w:ind w:left="2082" w:hanging="266"/>
      </w:pPr>
      <w:rPr>
        <w:rFonts w:hint="default"/>
        <w:lang w:val="hr-HR" w:eastAsia="en-US" w:bidi="ar-SA"/>
      </w:rPr>
    </w:lvl>
    <w:lvl w:ilvl="3" w:tplc="B7F601B2">
      <w:numFmt w:val="bullet"/>
      <w:lvlText w:val="•"/>
      <w:lvlJc w:val="left"/>
      <w:pPr>
        <w:ind w:left="3085" w:hanging="266"/>
      </w:pPr>
      <w:rPr>
        <w:rFonts w:hint="default"/>
        <w:lang w:val="hr-HR" w:eastAsia="en-US" w:bidi="ar-SA"/>
      </w:rPr>
    </w:lvl>
    <w:lvl w:ilvl="4" w:tplc="5F7233CC">
      <w:numFmt w:val="bullet"/>
      <w:lvlText w:val="•"/>
      <w:lvlJc w:val="left"/>
      <w:pPr>
        <w:ind w:left="4088" w:hanging="266"/>
      </w:pPr>
      <w:rPr>
        <w:rFonts w:hint="default"/>
        <w:lang w:val="hr-HR" w:eastAsia="en-US" w:bidi="ar-SA"/>
      </w:rPr>
    </w:lvl>
    <w:lvl w:ilvl="5" w:tplc="82E02CFE">
      <w:numFmt w:val="bullet"/>
      <w:lvlText w:val="•"/>
      <w:lvlJc w:val="left"/>
      <w:pPr>
        <w:ind w:left="5090" w:hanging="266"/>
      </w:pPr>
      <w:rPr>
        <w:rFonts w:hint="default"/>
        <w:lang w:val="hr-HR" w:eastAsia="en-US" w:bidi="ar-SA"/>
      </w:rPr>
    </w:lvl>
    <w:lvl w:ilvl="6" w:tplc="8A7064B2">
      <w:numFmt w:val="bullet"/>
      <w:lvlText w:val="•"/>
      <w:lvlJc w:val="left"/>
      <w:pPr>
        <w:ind w:left="6093" w:hanging="266"/>
      </w:pPr>
      <w:rPr>
        <w:rFonts w:hint="default"/>
        <w:lang w:val="hr-HR" w:eastAsia="en-US" w:bidi="ar-SA"/>
      </w:rPr>
    </w:lvl>
    <w:lvl w:ilvl="7" w:tplc="670EDACE">
      <w:numFmt w:val="bullet"/>
      <w:lvlText w:val="•"/>
      <w:lvlJc w:val="left"/>
      <w:pPr>
        <w:ind w:left="7096" w:hanging="266"/>
      </w:pPr>
      <w:rPr>
        <w:rFonts w:hint="default"/>
        <w:lang w:val="hr-HR" w:eastAsia="en-US" w:bidi="ar-SA"/>
      </w:rPr>
    </w:lvl>
    <w:lvl w:ilvl="8" w:tplc="B09263AA">
      <w:numFmt w:val="bullet"/>
      <w:lvlText w:val="•"/>
      <w:lvlJc w:val="left"/>
      <w:pPr>
        <w:ind w:left="8098" w:hanging="266"/>
      </w:pPr>
      <w:rPr>
        <w:rFonts w:hint="default"/>
        <w:lang w:val="hr-H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632"/>
    <w:rsid w:val="00160B0B"/>
    <w:rsid w:val="002777A9"/>
    <w:rsid w:val="002D183F"/>
    <w:rsid w:val="003721F4"/>
    <w:rsid w:val="004A4778"/>
    <w:rsid w:val="00570302"/>
    <w:rsid w:val="005715AA"/>
    <w:rsid w:val="00661827"/>
    <w:rsid w:val="00781A36"/>
    <w:rsid w:val="00792B83"/>
    <w:rsid w:val="007C729E"/>
    <w:rsid w:val="009713F8"/>
    <w:rsid w:val="009E2221"/>
    <w:rsid w:val="00B25632"/>
    <w:rsid w:val="00B265E6"/>
    <w:rsid w:val="00CE224C"/>
    <w:rsid w:val="00F815AC"/>
    <w:rsid w:val="00FD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6E3E4F-E6A1-43A9-83C8-F1B55AC15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256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slov1">
    <w:name w:val="heading 1"/>
    <w:basedOn w:val="Normal"/>
    <w:link w:val="Naslov1Char"/>
    <w:uiPriority w:val="1"/>
    <w:qFormat/>
    <w:rsid w:val="00B25632"/>
    <w:pPr>
      <w:outlineLvl w:val="0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B2563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jeloteksta">
    <w:name w:val="Body Text"/>
    <w:basedOn w:val="Normal"/>
    <w:link w:val="TijelotekstaChar"/>
    <w:uiPriority w:val="1"/>
    <w:qFormat/>
    <w:rsid w:val="00B25632"/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B25632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1"/>
    <w:qFormat/>
    <w:rsid w:val="00B25632"/>
    <w:pPr>
      <w:ind w:left="1082" w:hanging="266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60B0B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60B0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1127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Senka</cp:lastModifiedBy>
  <cp:revision>21</cp:revision>
  <cp:lastPrinted>2020-07-16T06:07:00Z</cp:lastPrinted>
  <dcterms:created xsi:type="dcterms:W3CDTF">2020-06-17T21:22:00Z</dcterms:created>
  <dcterms:modified xsi:type="dcterms:W3CDTF">2020-07-16T07:39:00Z</dcterms:modified>
</cp:coreProperties>
</file>